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49A" w:rsidRDefault="006E4FE7">
      <w:pPr>
        <w:pStyle w:val="BodyText"/>
        <w:spacing w:before="88" w:line="237" w:lineRule="auto"/>
        <w:ind w:left="1156" w:right="1716" w:firstLine="425"/>
      </w:pPr>
      <w:bookmarkStart w:id="0" w:name="Mutually_Adaptive_Learning_Paradigm®"/>
      <w:bookmarkEnd w:id="0"/>
      <w:r>
        <w:rPr>
          <w:spacing w:val="-3"/>
        </w:rPr>
        <w:t xml:space="preserve">Mutually </w:t>
      </w:r>
      <w:r>
        <w:rPr>
          <w:spacing w:val="-4"/>
        </w:rPr>
        <w:t xml:space="preserve">Adaptive </w:t>
      </w:r>
      <w:r>
        <w:rPr>
          <w:spacing w:val="-3"/>
        </w:rPr>
        <w:t xml:space="preserve">Learning </w:t>
      </w:r>
      <w:r>
        <w:rPr>
          <w:spacing w:val="-6"/>
        </w:rPr>
        <w:t xml:space="preserve">Paradigm® </w:t>
      </w:r>
      <w:r>
        <w:rPr>
          <w:spacing w:val="-4"/>
        </w:rPr>
        <w:t>MALP®</w:t>
      </w:r>
      <w:r>
        <w:rPr>
          <w:spacing w:val="-56"/>
        </w:rPr>
        <w:t xml:space="preserve"> </w:t>
      </w:r>
      <w:r>
        <w:rPr>
          <w:spacing w:val="-8"/>
        </w:rPr>
        <w:t xml:space="preserve">Teacher </w:t>
      </w:r>
      <w:r>
        <w:rPr>
          <w:spacing w:val="-4"/>
        </w:rPr>
        <w:t xml:space="preserve">Planning </w:t>
      </w:r>
      <w:r>
        <w:t xml:space="preserve">Checklist- </w:t>
      </w:r>
      <w:r>
        <w:rPr>
          <w:spacing w:val="-4"/>
        </w:rPr>
        <w:t>Deutsch</w:t>
      </w:r>
    </w:p>
    <w:p w:rsidR="001C649A" w:rsidRDefault="001C649A">
      <w:pPr>
        <w:pStyle w:val="BodyText"/>
        <w:rPr>
          <w:sz w:val="20"/>
        </w:rPr>
      </w:pPr>
    </w:p>
    <w:p w:rsidR="001C649A" w:rsidRDefault="001C649A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1C649A">
        <w:trPr>
          <w:trHeight w:val="365"/>
        </w:trPr>
        <w:tc>
          <w:tcPr>
            <w:tcW w:w="9534" w:type="dxa"/>
            <w:tcBorders>
              <w:bottom w:val="single" w:sz="8" w:space="0" w:color="000000"/>
            </w:tcBorders>
            <w:shd w:val="clear" w:color="auto" w:fill="FAD3A1"/>
          </w:tcPr>
          <w:p w:rsidR="001C649A" w:rsidRDefault="006E4FE7">
            <w:pPr>
              <w:pStyle w:val="TableParagraph"/>
              <w:spacing w:before="47"/>
              <w:ind w:left="27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proofErr w:type="spellStart"/>
            <w:r>
              <w:rPr>
                <w:b/>
                <w:sz w:val="24"/>
              </w:rPr>
              <w:t>Bedingungen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Lernen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rFonts w:ascii="Calibri-BoldItalic"/>
                <w:b/>
                <w:i/>
                <w:sz w:val="24"/>
              </w:rPr>
              <w:t>Akzeptiere</w:t>
            </w:r>
            <w:r>
              <w:rPr>
                <w:b/>
                <w:sz w:val="24"/>
              </w:rPr>
              <w:t>n</w:t>
            </w:r>
            <w:proofErr w:type="spellEnd"/>
          </w:p>
        </w:tc>
      </w:tr>
      <w:tr w:rsidR="001C649A">
        <w:trPr>
          <w:trHeight w:val="1775"/>
        </w:trPr>
        <w:tc>
          <w:tcPr>
            <w:tcW w:w="9534" w:type="dxa"/>
            <w:tcBorders>
              <w:top w:val="single" w:sz="8" w:space="0" w:color="000000"/>
              <w:bottom w:val="single" w:sz="8" w:space="0" w:color="000000"/>
            </w:tcBorders>
          </w:tcPr>
          <w:p w:rsidR="001C649A" w:rsidRDefault="006E4FE7">
            <w:pPr>
              <w:pStyle w:val="TableParagraph"/>
              <w:spacing w:before="16" w:line="242" w:lineRule="auto"/>
              <w:rPr>
                <w:sz w:val="24"/>
              </w:rPr>
            </w:pPr>
            <w:r>
              <w:rPr>
                <w:b/>
                <w:sz w:val="24"/>
              </w:rPr>
              <w:t>A1</w:t>
            </w:r>
            <w:r>
              <w:rPr>
                <w:sz w:val="24"/>
              </w:rPr>
              <w:t xml:space="preserve">. In der </w:t>
            </w:r>
            <w:proofErr w:type="spellStart"/>
            <w:r>
              <w:rPr>
                <w:sz w:val="24"/>
              </w:rPr>
              <w:t>Unterrichtseinheit</w:t>
            </w:r>
            <w:proofErr w:type="spellEnd"/>
            <w:r>
              <w:rPr>
                <w:sz w:val="24"/>
              </w:rPr>
              <w:t xml:space="preserve">/dem </w:t>
            </w:r>
            <w:proofErr w:type="spellStart"/>
            <w:r>
              <w:rPr>
                <w:sz w:val="24"/>
              </w:rPr>
              <w:t>Projekt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gibt</w:t>
            </w:r>
            <w:proofErr w:type="spellEnd"/>
            <w:r>
              <w:rPr>
                <w:sz w:val="24"/>
              </w:rPr>
              <w:t xml:space="preserve"> es </w:t>
            </w:r>
            <w:proofErr w:type="spellStart"/>
            <w:r>
              <w:rPr>
                <w:sz w:val="24"/>
              </w:rPr>
              <w:t>Elemente</w:t>
            </w:r>
            <w:proofErr w:type="spellEnd"/>
            <w:r>
              <w:rPr>
                <w:sz w:val="24"/>
              </w:rPr>
              <w:t xml:space="preserve"> von </w:t>
            </w:r>
            <w:proofErr w:type="spellStart"/>
            <w:r>
              <w:rPr>
                <w:sz w:val="24"/>
              </w:rPr>
              <w:t>unmittelbarer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Relevanz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für</w:t>
            </w:r>
            <w:proofErr w:type="spellEnd"/>
            <w:r>
              <w:rPr>
                <w:sz w:val="24"/>
              </w:rPr>
              <w:t xml:space="preserve"> das Leben der </w:t>
            </w:r>
            <w:proofErr w:type="spellStart"/>
            <w:r>
              <w:rPr>
                <w:sz w:val="24"/>
              </w:rPr>
              <w:t>Lernenden</w:t>
            </w:r>
            <w:proofErr w:type="spellEnd"/>
            <w:r>
              <w:rPr>
                <w:sz w:val="24"/>
              </w:rPr>
              <w:t>.</w:t>
            </w:r>
          </w:p>
          <w:p w:rsidR="001C649A" w:rsidRDefault="006E4FE7">
            <w:pPr>
              <w:pStyle w:val="TableParagraph"/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Inwiefern</w:t>
            </w:r>
            <w:proofErr w:type="spellEnd"/>
            <w:r>
              <w:rPr>
                <w:sz w:val="24"/>
              </w:rPr>
              <w:t>?</w:t>
            </w:r>
          </w:p>
          <w:p w:rsidR="006E4FE7" w:rsidRDefault="006E4FE7">
            <w:pPr>
              <w:pStyle w:val="TableParagraph"/>
              <w:spacing w:line="286" w:lineRule="exact"/>
              <w:rPr>
                <w:sz w:val="24"/>
              </w:rPr>
            </w:pPr>
          </w:p>
        </w:tc>
      </w:tr>
      <w:tr w:rsidR="001C649A">
        <w:trPr>
          <w:trHeight w:val="1480"/>
        </w:trPr>
        <w:tc>
          <w:tcPr>
            <w:tcW w:w="9534" w:type="dxa"/>
            <w:tcBorders>
              <w:top w:val="single" w:sz="8" w:space="0" w:color="000000"/>
              <w:bottom w:val="single" w:sz="8" w:space="0" w:color="000000"/>
            </w:tcBorders>
          </w:tcPr>
          <w:p w:rsidR="001C649A" w:rsidRDefault="006E4FE7">
            <w:pPr>
              <w:pStyle w:val="TableParagraph"/>
              <w:spacing w:before="11" w:line="242" w:lineRule="auto"/>
              <w:ind w:right="1504"/>
              <w:rPr>
                <w:sz w:val="24"/>
              </w:rPr>
            </w:pPr>
            <w:r>
              <w:rPr>
                <w:b/>
                <w:sz w:val="24"/>
              </w:rPr>
              <w:t xml:space="preserve">A2. </w:t>
            </w:r>
            <w:proofErr w:type="spellStart"/>
            <w:r>
              <w:rPr>
                <w:sz w:val="24"/>
              </w:rPr>
              <w:t>Ausgeprägte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gruppenbedingte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Verbundenheit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entwickelt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gefördert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Inwiefern</w:t>
            </w:r>
            <w:proofErr w:type="spellEnd"/>
            <w:r>
              <w:rPr>
                <w:sz w:val="24"/>
              </w:rPr>
              <w:t>?</w:t>
            </w:r>
          </w:p>
          <w:p w:rsidR="006E4FE7" w:rsidRDefault="006E4FE7">
            <w:pPr>
              <w:pStyle w:val="TableParagraph"/>
              <w:spacing w:before="11" w:line="242" w:lineRule="auto"/>
              <w:ind w:right="1504"/>
              <w:rPr>
                <w:sz w:val="24"/>
              </w:rPr>
            </w:pPr>
          </w:p>
        </w:tc>
      </w:tr>
      <w:tr w:rsidR="001C649A">
        <w:trPr>
          <w:trHeight w:val="365"/>
        </w:trPr>
        <w:tc>
          <w:tcPr>
            <w:tcW w:w="95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D3A1"/>
          </w:tcPr>
          <w:p w:rsidR="001C649A" w:rsidRDefault="006E4FE7">
            <w:pPr>
              <w:pStyle w:val="TableParagraph"/>
              <w:spacing w:before="41"/>
              <w:ind w:left="2931"/>
              <w:rPr>
                <w:rFonts w:ascii="Calibri-BoldItalic"/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proofErr w:type="spellStart"/>
            <w:r>
              <w:rPr>
                <w:b/>
                <w:sz w:val="24"/>
              </w:rPr>
              <w:t>Prozesse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Lernen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rFonts w:ascii="Calibri-BoldItalic"/>
                <w:b/>
                <w:i/>
                <w:sz w:val="24"/>
              </w:rPr>
              <w:t>Kombinieren</w:t>
            </w:r>
            <w:proofErr w:type="spellEnd"/>
          </w:p>
        </w:tc>
      </w:tr>
      <w:tr w:rsidR="001C649A">
        <w:trPr>
          <w:trHeight w:val="1480"/>
        </w:trPr>
        <w:tc>
          <w:tcPr>
            <w:tcW w:w="9534" w:type="dxa"/>
            <w:tcBorders>
              <w:top w:val="single" w:sz="8" w:space="0" w:color="000000"/>
              <w:bottom w:val="single" w:sz="8" w:space="0" w:color="000000"/>
            </w:tcBorders>
          </w:tcPr>
          <w:p w:rsidR="001C649A" w:rsidRDefault="006E4FE7">
            <w:pPr>
              <w:pStyle w:val="TableParagraph"/>
              <w:spacing w:before="18" w:line="237" w:lineRule="auto"/>
              <w:ind w:left="120" w:hanging="55"/>
              <w:rPr>
                <w:sz w:val="24"/>
              </w:rPr>
            </w:pPr>
            <w:r>
              <w:rPr>
                <w:b/>
                <w:sz w:val="24"/>
              </w:rPr>
              <w:t xml:space="preserve">B1. </w:t>
            </w:r>
            <w:proofErr w:type="spellStart"/>
            <w:r>
              <w:rPr>
                <w:sz w:val="24"/>
              </w:rPr>
              <w:t>Gemeinsame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Verantwortung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individuelle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Verantwortlichkeit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integriert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Inwiefern</w:t>
            </w:r>
            <w:proofErr w:type="spellEnd"/>
            <w:r>
              <w:rPr>
                <w:sz w:val="24"/>
              </w:rPr>
              <w:t>?</w:t>
            </w:r>
          </w:p>
          <w:p w:rsidR="006E4FE7" w:rsidRDefault="006E4FE7">
            <w:pPr>
              <w:pStyle w:val="TableParagraph"/>
              <w:spacing w:before="18" w:line="237" w:lineRule="auto"/>
              <w:ind w:left="120" w:hanging="55"/>
              <w:rPr>
                <w:sz w:val="24"/>
              </w:rPr>
            </w:pPr>
          </w:p>
        </w:tc>
      </w:tr>
      <w:tr w:rsidR="001C649A">
        <w:trPr>
          <w:trHeight w:val="1775"/>
        </w:trPr>
        <w:tc>
          <w:tcPr>
            <w:tcW w:w="9534" w:type="dxa"/>
            <w:tcBorders>
              <w:top w:val="single" w:sz="8" w:space="0" w:color="000000"/>
              <w:bottom w:val="single" w:sz="8" w:space="0" w:color="000000"/>
            </w:tcBorders>
          </w:tcPr>
          <w:p w:rsidR="001C649A" w:rsidRDefault="006E4FE7">
            <w:pPr>
              <w:pStyle w:val="TableParagraph"/>
              <w:tabs>
                <w:tab w:val="left" w:pos="605"/>
              </w:tabs>
              <w:spacing w:before="18" w:line="237" w:lineRule="auto"/>
              <w:ind w:right="652"/>
              <w:rPr>
                <w:sz w:val="24"/>
              </w:rPr>
            </w:pPr>
            <w:r>
              <w:rPr>
                <w:b/>
                <w:sz w:val="24"/>
              </w:rPr>
              <w:t>B2.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Die Lese-und </w:t>
            </w:r>
            <w:proofErr w:type="spellStart"/>
            <w:r>
              <w:rPr>
                <w:sz w:val="24"/>
              </w:rPr>
              <w:t>Schreibkompetenzen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durch</w:t>
            </w:r>
            <w:proofErr w:type="spellEnd"/>
            <w:r>
              <w:rPr>
                <w:sz w:val="24"/>
              </w:rPr>
              <w:t xml:space="preserve"> Scaffolding </w:t>
            </w:r>
            <w:proofErr w:type="spellStart"/>
            <w:r>
              <w:rPr>
                <w:sz w:val="24"/>
              </w:rPr>
              <w:t>mittels</w:t>
            </w:r>
            <w:proofErr w:type="spellEnd"/>
            <w:r>
              <w:rPr>
                <w:sz w:val="24"/>
              </w:rPr>
              <w:t xml:space="preserve"> der</w:t>
            </w:r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mündlichen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Interaktion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unterstützt</w:t>
            </w:r>
            <w:proofErr w:type="spellEnd"/>
            <w:r>
              <w:rPr>
                <w:sz w:val="24"/>
              </w:rPr>
              <w:t>.</w:t>
            </w:r>
          </w:p>
          <w:p w:rsidR="001C649A" w:rsidRDefault="006E4FE7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Inwiefern</w:t>
            </w:r>
            <w:proofErr w:type="spellEnd"/>
            <w:r>
              <w:rPr>
                <w:sz w:val="24"/>
              </w:rPr>
              <w:t>?</w:t>
            </w:r>
          </w:p>
          <w:p w:rsidR="006E4FE7" w:rsidRDefault="006E4FE7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1C649A">
        <w:trPr>
          <w:trHeight w:val="365"/>
        </w:trPr>
        <w:tc>
          <w:tcPr>
            <w:tcW w:w="95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D3A1"/>
          </w:tcPr>
          <w:p w:rsidR="001C649A" w:rsidRDefault="006E4FE7">
            <w:pPr>
              <w:pStyle w:val="TableParagraph"/>
              <w:spacing w:before="41"/>
              <w:ind w:left="2531"/>
              <w:rPr>
                <w:rFonts w:ascii="Calibri-BoldItalic" w:hAnsi="Calibri-BoldItalic"/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C. Auf die </w:t>
            </w:r>
            <w:proofErr w:type="spellStart"/>
            <w:r>
              <w:rPr>
                <w:b/>
                <w:sz w:val="24"/>
              </w:rPr>
              <w:t>neue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Schultätigkeiten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rFonts w:ascii="Calibri-BoldItalic" w:hAnsi="Calibri-BoldItalic"/>
                <w:b/>
                <w:i/>
                <w:sz w:val="24"/>
              </w:rPr>
              <w:t>Fokussieren</w:t>
            </w:r>
            <w:proofErr w:type="spellEnd"/>
          </w:p>
        </w:tc>
      </w:tr>
      <w:tr w:rsidR="001C649A">
        <w:trPr>
          <w:trHeight w:val="1480"/>
        </w:trPr>
        <w:tc>
          <w:tcPr>
            <w:tcW w:w="9534" w:type="dxa"/>
            <w:tcBorders>
              <w:top w:val="single" w:sz="8" w:space="0" w:color="000000"/>
              <w:bottom w:val="single" w:sz="8" w:space="0" w:color="000000"/>
            </w:tcBorders>
          </w:tcPr>
          <w:p w:rsidR="001C649A" w:rsidRDefault="006E4FE7">
            <w:pPr>
              <w:pStyle w:val="TableParagraph"/>
              <w:tabs>
                <w:tab w:val="left" w:pos="595"/>
              </w:tabs>
              <w:spacing w:before="11" w:line="242" w:lineRule="auto"/>
              <w:ind w:right="145"/>
              <w:rPr>
                <w:sz w:val="24"/>
              </w:rPr>
            </w:pPr>
            <w:r>
              <w:rPr>
                <w:b/>
                <w:sz w:val="24"/>
              </w:rPr>
              <w:t>C1.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Der </w:t>
            </w:r>
            <w:proofErr w:type="spellStart"/>
            <w:r>
              <w:rPr>
                <w:sz w:val="24"/>
              </w:rPr>
              <w:t>Fokus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wird</w:t>
            </w:r>
            <w:proofErr w:type="spellEnd"/>
            <w:r>
              <w:rPr>
                <w:sz w:val="24"/>
              </w:rPr>
              <w:t xml:space="preserve"> auf </w:t>
            </w:r>
            <w:proofErr w:type="spellStart"/>
            <w:r>
              <w:rPr>
                <w:sz w:val="24"/>
              </w:rPr>
              <w:t>dekontextualisierte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Schultätigkeiten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gesetzt</w:t>
            </w:r>
            <w:proofErr w:type="spellEnd"/>
            <w:r>
              <w:rPr>
                <w:sz w:val="24"/>
              </w:rPr>
              <w:t xml:space="preserve">, die auf </w:t>
            </w:r>
            <w:proofErr w:type="spellStart"/>
            <w:r>
              <w:rPr>
                <w:sz w:val="24"/>
              </w:rPr>
              <w:t>wissenschaftliche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Denkprozessen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basieren</w:t>
            </w:r>
            <w:proofErr w:type="spellEnd"/>
            <w:r>
              <w:rPr>
                <w:sz w:val="24"/>
              </w:rPr>
              <w:t>.</w:t>
            </w:r>
          </w:p>
          <w:p w:rsidR="001C649A" w:rsidRDefault="006E4FE7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Inwiefern</w:t>
            </w:r>
            <w:proofErr w:type="spellEnd"/>
            <w:r>
              <w:rPr>
                <w:sz w:val="24"/>
              </w:rPr>
              <w:t>?</w:t>
            </w:r>
          </w:p>
          <w:p w:rsidR="006E4FE7" w:rsidRDefault="006E4FE7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1C649A">
        <w:trPr>
          <w:trHeight w:val="1770"/>
        </w:trPr>
        <w:tc>
          <w:tcPr>
            <w:tcW w:w="9534" w:type="dxa"/>
            <w:tcBorders>
              <w:top w:val="single" w:sz="8" w:space="0" w:color="000000"/>
            </w:tcBorders>
          </w:tcPr>
          <w:p w:rsidR="001C649A" w:rsidRDefault="006E4FE7">
            <w:pPr>
              <w:pStyle w:val="TableParagraph"/>
              <w:spacing w:before="11" w:line="242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C2. </w:t>
            </w:r>
            <w:r>
              <w:rPr>
                <w:sz w:val="24"/>
              </w:rPr>
              <w:t xml:space="preserve">Die </w:t>
            </w:r>
            <w:proofErr w:type="spellStart"/>
            <w:r>
              <w:rPr>
                <w:sz w:val="24"/>
              </w:rPr>
              <w:t>neuen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dekontextualisierten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Schultätigkeiten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vertraute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Sprache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vertraute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Inhalten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zugänglich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gemacht</w:t>
            </w:r>
            <w:proofErr w:type="spellEnd"/>
            <w:r>
              <w:rPr>
                <w:sz w:val="24"/>
              </w:rPr>
              <w:t>.</w:t>
            </w:r>
          </w:p>
          <w:p w:rsidR="001C649A" w:rsidRDefault="006E4FE7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Inwiefern</w:t>
            </w:r>
            <w:proofErr w:type="spellEnd"/>
            <w:r>
              <w:rPr>
                <w:sz w:val="24"/>
              </w:rPr>
              <w:t>?</w:t>
            </w:r>
          </w:p>
          <w:p w:rsidR="006E4FE7" w:rsidRDefault="006E4FE7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</w:tbl>
    <w:p w:rsidR="001C649A" w:rsidRDefault="006E4FE7">
      <w:pPr>
        <w:ind w:left="170" w:right="703"/>
        <w:jc w:val="both"/>
      </w:pPr>
      <w:r>
        <w:t xml:space="preserve">Adapted and translated from </w:t>
      </w:r>
      <w:proofErr w:type="spellStart"/>
      <w:r>
        <w:t>DeCapua</w:t>
      </w:r>
      <w:proofErr w:type="spellEnd"/>
      <w:r>
        <w:t xml:space="preserve">, A. &amp; Marshall, H.W. (2011). </w:t>
      </w:r>
      <w:r>
        <w:rPr>
          <w:i/>
        </w:rPr>
        <w:t xml:space="preserve">Breaking New Ground: Teaching Students with Limited or Interrupted Formal Education in Secondary Schools, </w:t>
      </w:r>
      <w:r>
        <w:t>University of Michigan Press, (p.68).</w:t>
      </w:r>
    </w:p>
    <w:sectPr w:rsidR="001C649A">
      <w:type w:val="continuous"/>
      <w:pgSz w:w="12240" w:h="15840"/>
      <w:pgMar w:top="640" w:right="9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9A"/>
    <w:rsid w:val="001C649A"/>
    <w:rsid w:val="006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5333E"/>
  <w15:docId w15:val="{48537C53-AE98-CE44-B66B-23C659D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Adam Burnstone</cp:lastModifiedBy>
  <cp:revision>2</cp:revision>
  <dcterms:created xsi:type="dcterms:W3CDTF">2020-11-08T00:03:00Z</dcterms:created>
  <dcterms:modified xsi:type="dcterms:W3CDTF">2020-11-08T00:03:00Z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2020-11-08T00:00:00Z</vt:filetime>
  </property>
</Properties>
</file>